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/>
        <w:jc w:val="center"/>
        <w:rPr>
          <w:rFonts w:ascii="方正小标宋简体" w:hAnsi="宋体" w:eastAsia="方正小标宋简体"/>
          <w:sz w:val="32"/>
          <w:szCs w:val="32"/>
        </w:rPr>
      </w:pPr>
    </w:p>
    <w:p>
      <w:pPr>
        <w:spacing w:after="0"/>
        <w:jc w:val="center"/>
        <w:rPr>
          <w:rFonts w:ascii="方正小标宋简体" w:hAnsi="宋体" w:eastAsia="方正小标宋简体"/>
          <w:sz w:val="44"/>
          <w:szCs w:val="44"/>
        </w:rPr>
      </w:pPr>
      <w:r>
        <w:rPr>
          <w:rFonts w:hint="eastAsia" w:ascii="方正小标宋简体" w:hAnsi="宋体" w:eastAsia="方正小标宋简体"/>
          <w:sz w:val="44"/>
          <w:szCs w:val="44"/>
        </w:rPr>
        <w:t>《电子对抗指挥》考试大纲</w:t>
      </w:r>
    </w:p>
    <w:p>
      <w:pPr>
        <w:spacing w:after="0"/>
        <w:jc w:val="center"/>
        <w:outlineLvl w:val="0"/>
        <w:rPr>
          <w:rFonts w:ascii="方正小标宋简体" w:eastAsia="方正小标宋简体"/>
          <w:bCs/>
          <w:sz w:val="32"/>
          <w:szCs w:val="32"/>
        </w:rPr>
      </w:pPr>
    </w:p>
    <w:p>
      <w:pPr>
        <w:spacing w:after="0" w:line="360" w:lineRule="auto"/>
        <w:ind w:firstLine="560" w:firstLineChars="200"/>
        <w:outlineLvl w:val="0"/>
        <w:rPr>
          <w:rFonts w:ascii="黑体" w:hAnsi="仿宋" w:eastAsia="黑体"/>
          <w:sz w:val="28"/>
          <w:szCs w:val="28"/>
        </w:rPr>
      </w:pPr>
      <w:r>
        <w:rPr>
          <w:rFonts w:hint="eastAsia" w:ascii="黑体" w:hAnsi="仿宋" w:eastAsia="黑体"/>
          <w:sz w:val="28"/>
          <w:szCs w:val="28"/>
        </w:rPr>
        <w:t>一、参考书目</w:t>
      </w:r>
    </w:p>
    <w:p>
      <w:pPr>
        <w:spacing w:after="0"/>
        <w:ind w:firstLine="480" w:firstLineChars="200"/>
        <w:rPr>
          <w:rFonts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1.《军队指挥学》，任海泉编著，国防大学出版社，2013年3月。</w:t>
      </w:r>
    </w:p>
    <w:p>
      <w:pPr>
        <w:spacing w:after="0"/>
        <w:ind w:firstLine="480" w:firstLineChars="200"/>
        <w:rPr>
          <w:rFonts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2.《电子对抗旅(团)作战指挥》，毛毅、王东强编著，解放军出版社，2015年12月。</w:t>
      </w:r>
    </w:p>
    <w:p>
      <w:pPr>
        <w:spacing w:beforeLines="50" w:afterLines="50"/>
        <w:ind w:firstLine="560" w:firstLineChars="200"/>
        <w:outlineLvl w:val="0"/>
        <w:rPr>
          <w:rFonts w:ascii="黑体" w:hAnsi="仿宋" w:eastAsia="黑体"/>
          <w:sz w:val="28"/>
          <w:szCs w:val="28"/>
        </w:rPr>
      </w:pPr>
      <w:r>
        <w:rPr>
          <w:rFonts w:hint="eastAsia" w:ascii="黑体" w:hAnsi="仿宋" w:eastAsia="黑体"/>
          <w:sz w:val="28"/>
          <w:szCs w:val="28"/>
        </w:rPr>
        <w:t>二、考试内容及要求</w:t>
      </w:r>
    </w:p>
    <w:p>
      <w:pPr>
        <w:spacing w:after="0" w:line="38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（一）军队指挥概论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军队指挥的概念、任务、特点、要素、分类，军队指挥理论，军队指挥学研究范畴、现状、方法。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after="0"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（1）掌握军队指挥</w:t>
      </w:r>
      <w:bookmarkStart w:id="0" w:name="_GoBack"/>
      <w:bookmarkEnd w:id="0"/>
      <w:r>
        <w:rPr>
          <w:rFonts w:hint="eastAsia" w:ascii="仿宋_GB2312" w:hAnsi="仿宋" w:eastAsia="仿宋_GB2312"/>
          <w:sz w:val="24"/>
        </w:rPr>
        <w:t>的概念、任务、特点、要素；</w:t>
      </w:r>
    </w:p>
    <w:p>
      <w:pPr>
        <w:spacing w:after="0"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（2）理解军队指挥学研究范畴、现状、方法；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（3）了解军队指挥理论。</w:t>
      </w:r>
    </w:p>
    <w:p>
      <w:pPr>
        <w:spacing w:after="0" w:line="38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（二）军队指挥演变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军队指挥的历史沿革，我军军队指挥演变，军队指挥发展的动因，军队指挥发展的趋势。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after="0"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（1）掌握军队指挥发展的动因，军队指挥发展的趋势；</w:t>
      </w:r>
    </w:p>
    <w:p>
      <w:pPr>
        <w:spacing w:after="0"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（2）理解我军军队指挥演变；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（3）了解军队指挥的历史沿革。</w:t>
      </w:r>
    </w:p>
    <w:p>
      <w:pPr>
        <w:spacing w:after="0" w:line="38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（三）军队指挥环境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军队指挥环境的主要内容，军队指挥环境对军队指挥的影响，对军队指挥环境的认识、适应、利用和改造。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 xml:space="preserve">考试要求： </w:t>
      </w:r>
    </w:p>
    <w:p>
      <w:pPr>
        <w:spacing w:after="0"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（1）掌握军队指挥环境对军队指挥的影响；</w:t>
      </w:r>
    </w:p>
    <w:p>
      <w:pPr>
        <w:spacing w:after="0"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（2）理解军队指挥环境的主要内容；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（3）了解对军队指挥环境的认识、适应、利用和改造。</w:t>
      </w:r>
    </w:p>
    <w:p>
      <w:pPr>
        <w:spacing w:after="0" w:line="38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（四）军队指挥体制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军队指挥体制的要素，军队指挥体制的类型，影响军队指挥体制的主要因素，军队指挥所及其发展趋势。</w:t>
      </w:r>
    </w:p>
    <w:p>
      <w:pPr>
        <w:spacing w:after="0" w:line="380" w:lineRule="exact"/>
        <w:ind w:firstLine="482" w:firstLineChars="200"/>
        <w:rPr>
          <w:rFonts w:ascii="仿宋" w:hAnsi="仿宋" w:eastAsia="仿宋"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  <w:r>
        <w:rPr>
          <w:rFonts w:hint="eastAsia" w:ascii="仿宋" w:hAnsi="仿宋" w:eastAsia="仿宋"/>
          <w:sz w:val="24"/>
        </w:rPr>
        <w:t xml:space="preserve"> </w:t>
      </w:r>
    </w:p>
    <w:p>
      <w:pPr>
        <w:spacing w:after="0"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（1）掌握影响军队指挥体制的主要因素；</w:t>
      </w:r>
    </w:p>
    <w:p>
      <w:pPr>
        <w:spacing w:after="0"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（2）理解军队指挥体制的要素，军队指挥体制的类型；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（3）了解军队指挥所及其发展趋势。</w:t>
      </w:r>
    </w:p>
    <w:p>
      <w:pPr>
        <w:spacing w:after="0" w:line="38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（五）军队指挥规律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军队指挥规律概述，揭示军队指挥规律的方法，军队指挥规律的内容。</w:t>
      </w:r>
    </w:p>
    <w:p>
      <w:pPr>
        <w:spacing w:after="0" w:line="380" w:lineRule="exact"/>
        <w:ind w:firstLine="482" w:firstLineChars="200"/>
        <w:rPr>
          <w:rFonts w:ascii="仿宋" w:hAnsi="仿宋" w:eastAsia="仿宋"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  <w:r>
        <w:rPr>
          <w:rFonts w:hint="eastAsia" w:ascii="仿宋" w:hAnsi="仿宋" w:eastAsia="仿宋"/>
          <w:sz w:val="24"/>
        </w:rPr>
        <w:t xml:space="preserve"> </w:t>
      </w:r>
    </w:p>
    <w:p>
      <w:pPr>
        <w:spacing w:after="0"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（1）掌握军队指挥规律的含义，揭示军队指挥规律的方法和军队指挥规律的内容；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（2）理解军队指挥规律的内容。</w:t>
      </w:r>
    </w:p>
    <w:p>
      <w:pPr>
        <w:spacing w:after="0" w:line="38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（六）军队指挥原则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军队指挥原则概述，军队指挥原则的依据，军队指挥原则的基本内容，军队指挥原则的运用要求。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after="0"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（1）掌握军队指挥原则的依据，军队指挥原则的基本内容；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（2）理解军队指挥原则的运用要求。</w:t>
      </w:r>
    </w:p>
    <w:p>
      <w:pPr>
        <w:spacing w:after="0" w:line="38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（七）军队指挥方式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军队指挥方式概述，军队指挥方式的基本类型，影响军队指挥方式的主要因素，军队指挥方式的运用要求。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after="0"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（1）掌握军队指挥方式的基本类型；</w:t>
      </w:r>
    </w:p>
    <w:p>
      <w:pPr>
        <w:spacing w:after="0"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（2）理解军队指挥方式的运用要求；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（3）了解影响军队指挥方式的主要因素。</w:t>
      </w:r>
    </w:p>
    <w:p>
      <w:pPr>
        <w:spacing w:after="0" w:line="38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（八）军队指挥手段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军队指挥手段的分类，军队指挥手段的功能，军队指挥信息系统，军队指挥手段的运用要求。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after="0" w:line="380" w:lineRule="exact"/>
        <w:ind w:firstLine="48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（1）掌握军队指挥手段的功能和分类，军队指挥信息系统的组成、特点；</w:t>
      </w:r>
    </w:p>
    <w:p>
      <w:pPr>
        <w:spacing w:after="0" w:line="380" w:lineRule="exact"/>
        <w:ind w:firstLine="48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（2）理解军队指挥手段的运用要求；</w:t>
      </w:r>
    </w:p>
    <w:p>
      <w:pPr>
        <w:spacing w:after="0" w:line="380" w:lineRule="exact"/>
        <w:ind w:firstLine="48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（3）了解军队指挥信息系统的运行、使用、管理和防护要求。</w:t>
      </w:r>
    </w:p>
    <w:p>
      <w:pPr>
        <w:spacing w:after="0" w:line="38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（九）军队指挥保障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军队指挥保障概述，军队指挥保障的内容，军队指挥保障的组织实施，军队指挥保障的要求。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after="0" w:line="380" w:lineRule="exact"/>
        <w:ind w:firstLine="48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（1）掌握军队指挥保障的内容和组织实施流程；</w:t>
      </w:r>
    </w:p>
    <w:p>
      <w:pPr>
        <w:spacing w:after="0" w:line="380" w:lineRule="exact"/>
        <w:ind w:firstLine="48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（2）理解军队指挥保障的要求；</w:t>
      </w:r>
    </w:p>
    <w:p>
      <w:pPr>
        <w:spacing w:after="0" w:line="380" w:lineRule="exact"/>
        <w:ind w:firstLine="48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（3）了解军队指挥保障的特点。</w:t>
      </w:r>
    </w:p>
    <w:p>
      <w:pPr>
        <w:spacing w:after="0" w:line="380" w:lineRule="exact"/>
        <w:ind w:firstLine="480" w:firstLineChars="200"/>
        <w:outlineLvl w:val="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（十）电子对抗旅（团）作战准备阶段的指挥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电子对抗旅（团）作战准备阶段指挥活动,包括理解任务、分析判断情况、提出作战构想、准备决心建议、定下决心、拟制计划、组织协同、组织保障、组织指挥所。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 xml:space="preserve">考试要求： </w:t>
      </w:r>
    </w:p>
    <w:p>
      <w:pPr>
        <w:spacing w:after="0"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（1）掌握各指挥活动的主要内容，分析理解任务、提出作战构想、准备决心建议、定下决心、组织协同的方法和要求；</w:t>
      </w:r>
    </w:p>
    <w:p>
      <w:pPr>
        <w:spacing w:after="0"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（2）理解确定基本战法、主要作战方向、目标和频段的要求和方法，作战方案制定，行动方案评估，指挥所设置、开设；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（3）了解组织保障的内容和要求。</w:t>
      </w:r>
    </w:p>
    <w:p>
      <w:pPr>
        <w:spacing w:after="0" w:line="380" w:lineRule="exact"/>
        <w:ind w:firstLine="480" w:firstLineChars="200"/>
        <w:outlineLvl w:val="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（十一）电子对抗旅（团）作战实施阶段的指挥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电子对抗旅（团）作战实施阶段指挥活动，包括电子对抗行动控制、监控战场情况变化、评估所属兵力状况和遂行任务效果、保持稳定不间断指挥。</w:t>
      </w:r>
    </w:p>
    <w:p>
      <w:pPr>
        <w:spacing w:after="0" w:line="380" w:lineRule="exact"/>
        <w:ind w:firstLine="482" w:firstLineChars="200"/>
        <w:rPr>
          <w:rFonts w:ascii="仿宋" w:hAnsi="仿宋" w:eastAsia="仿宋"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  <w:r>
        <w:rPr>
          <w:rFonts w:hint="eastAsia" w:ascii="仿宋" w:hAnsi="仿宋" w:eastAsia="仿宋"/>
          <w:sz w:val="24"/>
        </w:rPr>
        <w:t xml:space="preserve"> </w:t>
      </w:r>
    </w:p>
    <w:p>
      <w:pPr>
        <w:spacing w:after="0"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（1）掌握评估所属兵力状况和遂行任务效果的目的、内容、方法,电子对抗行动的控制方法，电子对抗侦察行动、电子干扰行动的控制措施；</w:t>
      </w:r>
    </w:p>
    <w:p>
      <w:pPr>
        <w:spacing w:after="0"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（2）理解监控战场情况变化的重点、注意事项；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（3）了解保持稳定不间断指挥的方法内容。</w:t>
      </w:r>
    </w:p>
    <w:p>
      <w:pPr>
        <w:spacing w:after="0" w:line="380" w:lineRule="exact"/>
        <w:ind w:firstLine="480" w:firstLineChars="200"/>
        <w:outlineLvl w:val="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（十二）典型电子对抗旅（团）作战指挥</w:t>
      </w:r>
    </w:p>
    <w:p>
      <w:pPr>
        <w:spacing w:after="0" w:line="38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岛屿进攻作战电子对抗旅（团）作战指挥，边境反击作战电子对抗旅（团）作战指挥，基地和泊地防御作战电子对抗旅（团）作战指挥，海上作战电子对抗旅（团）作战指挥，空中进攻作战电子对抗旅（团）作战指挥。</w:t>
      </w:r>
    </w:p>
    <w:p>
      <w:pPr>
        <w:spacing w:after="0" w:line="380" w:lineRule="exact"/>
        <w:ind w:firstLine="482" w:firstLineChars="200"/>
        <w:rPr>
          <w:rFonts w:ascii="仿宋" w:hAnsi="仿宋" w:eastAsia="仿宋"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  <w:r>
        <w:rPr>
          <w:rFonts w:hint="eastAsia" w:ascii="仿宋" w:hAnsi="仿宋" w:eastAsia="仿宋"/>
          <w:sz w:val="24"/>
        </w:rPr>
        <w:t xml:space="preserve"> </w:t>
      </w:r>
    </w:p>
    <w:p>
      <w:pPr>
        <w:spacing w:after="0"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（1）掌握岛屿进攻作战、边境反击作战、基地和泊地防御作战电子对抗旅（团）作战指挥的内容；</w:t>
      </w:r>
    </w:p>
    <w:p>
      <w:pPr>
        <w:spacing w:after="0"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（2）理解海上作战、空中进攻作战电子对抗旅（团）作战指挥。</w:t>
      </w:r>
    </w:p>
    <w:p>
      <w:pPr>
        <w:spacing w:beforeLines="50" w:afterLines="50"/>
        <w:ind w:firstLine="560" w:firstLineChars="200"/>
        <w:outlineLvl w:val="0"/>
        <w:rPr>
          <w:rFonts w:ascii="黑体" w:hAnsi="仿宋" w:eastAsia="黑体"/>
          <w:sz w:val="28"/>
          <w:szCs w:val="28"/>
        </w:rPr>
      </w:pPr>
      <w:r>
        <w:rPr>
          <w:rFonts w:hint="eastAsia" w:ascii="黑体" w:hAnsi="仿宋" w:eastAsia="黑体"/>
          <w:sz w:val="28"/>
          <w:szCs w:val="28"/>
        </w:rPr>
        <w:t>三、试卷结构（满分</w:t>
      </w:r>
      <w:r>
        <w:rPr>
          <w:rFonts w:ascii="黑体" w:hAnsi="仿宋" w:eastAsia="黑体"/>
          <w:sz w:val="28"/>
          <w:szCs w:val="28"/>
        </w:rPr>
        <w:t>1</w:t>
      </w:r>
      <w:r>
        <w:rPr>
          <w:rFonts w:hint="eastAsia" w:ascii="黑体" w:hAnsi="仿宋" w:eastAsia="黑体"/>
          <w:sz w:val="28"/>
          <w:szCs w:val="28"/>
        </w:rPr>
        <w:t>0</w:t>
      </w:r>
      <w:r>
        <w:rPr>
          <w:rFonts w:ascii="黑体" w:hAnsi="仿宋" w:eastAsia="黑体"/>
          <w:sz w:val="28"/>
          <w:szCs w:val="28"/>
        </w:rPr>
        <w:t>0</w:t>
      </w:r>
      <w:r>
        <w:rPr>
          <w:rFonts w:hint="eastAsia" w:ascii="黑体" w:hAnsi="仿宋" w:eastAsia="黑体"/>
          <w:sz w:val="28"/>
          <w:szCs w:val="28"/>
        </w:rPr>
        <w:t>分，时间</w:t>
      </w:r>
      <w:r>
        <w:rPr>
          <w:rFonts w:ascii="黑体" w:hAnsi="仿宋" w:eastAsia="黑体"/>
          <w:sz w:val="28"/>
          <w:szCs w:val="28"/>
        </w:rPr>
        <w:t>1</w:t>
      </w:r>
      <w:r>
        <w:rPr>
          <w:rFonts w:hint="eastAsia" w:ascii="黑体" w:hAnsi="仿宋" w:eastAsia="黑体"/>
          <w:sz w:val="28"/>
          <w:szCs w:val="28"/>
        </w:rPr>
        <w:t>8</w:t>
      </w:r>
      <w:r>
        <w:rPr>
          <w:rFonts w:ascii="黑体" w:hAnsi="仿宋" w:eastAsia="黑体"/>
          <w:sz w:val="28"/>
          <w:szCs w:val="28"/>
        </w:rPr>
        <w:t>0</w:t>
      </w:r>
      <w:r>
        <w:rPr>
          <w:rFonts w:hint="eastAsia" w:ascii="黑体" w:hAnsi="仿宋" w:eastAsia="黑体"/>
          <w:sz w:val="28"/>
          <w:szCs w:val="28"/>
        </w:rPr>
        <w:t>分钟）</w:t>
      </w:r>
    </w:p>
    <w:p>
      <w:pPr>
        <w:spacing w:after="0"/>
        <w:ind w:firstLine="480" w:firstLineChars="200"/>
        <w:textAlignment w:val="baseline"/>
        <w:rPr>
          <w:rFonts w:ascii="仿宋_GB2312" w:hAnsi="华文仿宋" w:eastAsia="仿宋_GB2312"/>
          <w:sz w:val="24"/>
        </w:rPr>
      </w:pPr>
      <w:r>
        <w:rPr>
          <w:rFonts w:hint="eastAsia" w:ascii="仿宋_GB2312" w:hAnsi="华文仿宋" w:eastAsia="仿宋_GB2312"/>
          <w:sz w:val="24"/>
        </w:rPr>
        <w:t>按题型：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6"/>
        <w:gridCol w:w="1596"/>
        <w:gridCol w:w="1224"/>
        <w:gridCol w:w="1118"/>
        <w:gridCol w:w="11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华文仿宋" w:eastAsia="仿宋_GB2312"/>
                <w:sz w:val="24"/>
              </w:rPr>
            </w:pPr>
            <w:r>
              <w:rPr>
                <w:rFonts w:hint="eastAsia" w:ascii="仿宋_GB2312" w:hAnsi="华文仿宋" w:eastAsia="仿宋_GB2312"/>
                <w:sz w:val="24"/>
              </w:rPr>
              <w:t>题型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华文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名词解释题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华文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简答题</w:t>
            </w:r>
          </w:p>
        </w:tc>
        <w:tc>
          <w:tcPr>
            <w:tcW w:w="1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华文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分析题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</w:pPr>
            <w:r>
              <w:rPr>
                <w:rFonts w:hint="eastAsia" w:ascii="仿宋_GB2312" w:hAnsi="仿宋" w:eastAsia="仿宋_GB2312"/>
                <w:sz w:val="24"/>
              </w:rPr>
              <w:t>综合题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华文仿宋" w:eastAsia="仿宋_GB2312"/>
                <w:sz w:val="24"/>
              </w:rPr>
            </w:pPr>
            <w:r>
              <w:rPr>
                <w:rFonts w:hint="eastAsia" w:ascii="仿宋_GB2312" w:hAnsi="华文仿宋" w:eastAsia="仿宋_GB2312"/>
                <w:sz w:val="24"/>
              </w:rPr>
              <w:t>分值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20分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20分</w:t>
            </w:r>
          </w:p>
        </w:tc>
        <w:tc>
          <w:tcPr>
            <w:tcW w:w="1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20分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40分</w:t>
            </w:r>
          </w:p>
        </w:tc>
      </w:tr>
    </w:tbl>
    <w:p>
      <w:pPr>
        <w:spacing w:after="0"/>
        <w:ind w:firstLine="480" w:firstLineChars="200"/>
        <w:rPr>
          <w:rFonts w:ascii="仿宋" w:hAnsi="仿宋" w:eastAsia="仿宋"/>
          <w:sz w:val="24"/>
        </w:rPr>
      </w:pPr>
    </w:p>
    <w:p>
      <w:pPr>
        <w:spacing w:after="0"/>
        <w:ind w:firstLine="480" w:firstLineChars="200"/>
        <w:textAlignment w:val="baseline"/>
        <w:rPr>
          <w:rFonts w:ascii="仿宋" w:hAnsi="仿宋" w:eastAsia="仿宋"/>
          <w:sz w:val="24"/>
        </w:rPr>
      </w:pPr>
      <w:r>
        <w:rPr>
          <w:rFonts w:hint="eastAsia" w:ascii="仿宋_GB2312" w:hAnsi="华文仿宋" w:eastAsia="仿宋_GB2312"/>
          <w:sz w:val="24"/>
        </w:rPr>
        <w:t>按内容：</w:t>
      </w:r>
    </w:p>
    <w:tbl>
      <w:tblPr>
        <w:tblStyle w:val="4"/>
        <w:tblW w:w="0" w:type="auto"/>
        <w:tblInd w:w="8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03"/>
        <w:gridCol w:w="23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</w:trPr>
        <w:tc>
          <w:tcPr>
            <w:tcW w:w="4403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内容</w:t>
            </w:r>
          </w:p>
        </w:tc>
        <w:tc>
          <w:tcPr>
            <w:tcW w:w="2361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3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军队指挥概论</w:t>
            </w:r>
          </w:p>
        </w:tc>
        <w:tc>
          <w:tcPr>
            <w:tcW w:w="2361" w:type="dxa"/>
            <w:vAlign w:val="center"/>
          </w:tcPr>
          <w:p>
            <w:pPr>
              <w:spacing w:after="0"/>
              <w:ind w:left="-2" w:leftChars="-1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3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军队指挥演变</w:t>
            </w:r>
          </w:p>
        </w:tc>
        <w:tc>
          <w:tcPr>
            <w:tcW w:w="2361" w:type="dxa"/>
            <w:vAlign w:val="center"/>
          </w:tcPr>
          <w:p>
            <w:pPr>
              <w:spacing w:after="0"/>
              <w:ind w:left="-2" w:leftChars="-1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3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军队指挥环境</w:t>
            </w:r>
          </w:p>
        </w:tc>
        <w:tc>
          <w:tcPr>
            <w:tcW w:w="2361" w:type="dxa"/>
            <w:vAlign w:val="center"/>
          </w:tcPr>
          <w:p>
            <w:pPr>
              <w:spacing w:after="0"/>
              <w:ind w:left="-2" w:leftChars="-1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3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军队指挥体制</w:t>
            </w:r>
          </w:p>
        </w:tc>
        <w:tc>
          <w:tcPr>
            <w:tcW w:w="2361" w:type="dxa"/>
            <w:vAlign w:val="center"/>
          </w:tcPr>
          <w:p>
            <w:pPr>
              <w:spacing w:after="0"/>
              <w:ind w:left="-2" w:leftChars="-1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3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军队指挥规律</w:t>
            </w:r>
          </w:p>
        </w:tc>
        <w:tc>
          <w:tcPr>
            <w:tcW w:w="2361" w:type="dxa"/>
            <w:vAlign w:val="center"/>
          </w:tcPr>
          <w:p>
            <w:pPr>
              <w:spacing w:after="0"/>
              <w:ind w:left="-2" w:leftChars="-1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3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军队指挥原则</w:t>
            </w:r>
          </w:p>
        </w:tc>
        <w:tc>
          <w:tcPr>
            <w:tcW w:w="2361" w:type="dxa"/>
            <w:vAlign w:val="center"/>
          </w:tcPr>
          <w:p>
            <w:pPr>
              <w:spacing w:after="0"/>
              <w:ind w:left="-2" w:leftChars="-1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3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军队指挥方式</w:t>
            </w:r>
          </w:p>
        </w:tc>
        <w:tc>
          <w:tcPr>
            <w:tcW w:w="2361" w:type="dxa"/>
            <w:vAlign w:val="center"/>
          </w:tcPr>
          <w:p>
            <w:pPr>
              <w:spacing w:after="0"/>
              <w:ind w:left="-2" w:leftChars="-1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3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军队指挥手段</w:t>
            </w:r>
          </w:p>
        </w:tc>
        <w:tc>
          <w:tcPr>
            <w:tcW w:w="2361" w:type="dxa"/>
            <w:vAlign w:val="center"/>
          </w:tcPr>
          <w:p>
            <w:pPr>
              <w:spacing w:after="0"/>
              <w:ind w:left="-2" w:leftChars="-1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3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军队指挥保障</w:t>
            </w:r>
          </w:p>
        </w:tc>
        <w:tc>
          <w:tcPr>
            <w:tcW w:w="2361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3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电子对抗旅（团）作战准备阶段的指挥</w:t>
            </w:r>
          </w:p>
        </w:tc>
        <w:tc>
          <w:tcPr>
            <w:tcW w:w="2361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3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楷体_GB2312" w:hAnsi="仿宋" w:eastAsia="楷体_GB2312"/>
                <w:sz w:val="24"/>
              </w:rPr>
              <w:t>电子对抗旅（团）作战实施阶段的指挥</w:t>
            </w:r>
          </w:p>
        </w:tc>
        <w:tc>
          <w:tcPr>
            <w:tcW w:w="2361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3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楷体_GB2312" w:hAnsi="仿宋" w:eastAsia="楷体_GB2312"/>
                <w:sz w:val="24"/>
              </w:rPr>
              <w:t>典型电子对抗旅（团）作战指挥</w:t>
            </w:r>
          </w:p>
        </w:tc>
        <w:tc>
          <w:tcPr>
            <w:tcW w:w="2361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03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合计</w:t>
            </w:r>
          </w:p>
        </w:tc>
        <w:tc>
          <w:tcPr>
            <w:tcW w:w="2361" w:type="dxa"/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ascii="仿宋_GB2312" w:hAnsi="仿宋" w:eastAsia="仿宋_GB2312"/>
                <w:sz w:val="24"/>
              </w:rPr>
              <w:fldChar w:fldCharType="begin"/>
            </w:r>
            <w:r>
              <w:rPr>
                <w:rFonts w:ascii="仿宋_GB2312" w:hAnsi="仿宋" w:eastAsia="仿宋_GB2312"/>
                <w:sz w:val="24"/>
              </w:rPr>
              <w:instrText xml:space="preserve"> </w:instrText>
            </w:r>
            <w:r>
              <w:rPr>
                <w:rFonts w:hint="eastAsia" w:ascii="仿宋_GB2312" w:hAnsi="仿宋" w:eastAsia="仿宋_GB2312"/>
                <w:sz w:val="24"/>
              </w:rPr>
              <w:instrText xml:space="preserve">=SUM(ABOVE)</w:instrText>
            </w:r>
            <w:r>
              <w:rPr>
                <w:rFonts w:ascii="仿宋_GB2312" w:hAnsi="仿宋" w:eastAsia="仿宋_GB2312"/>
                <w:sz w:val="24"/>
              </w:rPr>
              <w:instrText xml:space="preserve"> </w:instrText>
            </w:r>
            <w:r>
              <w:rPr>
                <w:rFonts w:ascii="仿宋_GB2312" w:hAnsi="仿宋" w:eastAsia="仿宋_GB2312"/>
                <w:sz w:val="24"/>
              </w:rPr>
              <w:fldChar w:fldCharType="separate"/>
            </w:r>
            <w:r>
              <w:rPr>
                <w:rFonts w:ascii="仿宋_GB2312" w:hAnsi="仿宋" w:eastAsia="仿宋_GB2312"/>
                <w:sz w:val="24"/>
              </w:rPr>
              <w:t>100</w:t>
            </w:r>
            <w:r>
              <w:rPr>
                <w:rFonts w:ascii="仿宋_GB2312" w:hAnsi="仿宋" w:eastAsia="仿宋_GB2312"/>
                <w:sz w:val="24"/>
              </w:rPr>
              <w:fldChar w:fldCharType="end"/>
            </w:r>
          </w:p>
        </w:tc>
      </w:tr>
    </w:tbl>
    <w:p>
      <w:pPr>
        <w:spacing w:after="0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注：划分的分值是近似的；同一题目可综合不同章节内容；同一内容下可设计多个小题，以区分不同侧重点或理解能力的掌握。</w:t>
      </w:r>
    </w:p>
    <w:p>
      <w:pPr>
        <w:spacing w:after="0"/>
        <w:ind w:firstLine="480" w:firstLineChars="200"/>
        <w:textAlignment w:val="baseline"/>
        <w:rPr>
          <w:rFonts w:ascii="仿宋_GB2312" w:hAnsi="华文仿宋" w:eastAsia="仿宋_GB2312"/>
          <w:sz w:val="24"/>
        </w:rPr>
      </w:pPr>
    </w:p>
    <w:p>
      <w:pPr>
        <w:spacing w:after="0"/>
        <w:ind w:firstLine="480" w:firstLineChars="200"/>
        <w:textAlignment w:val="baseline"/>
        <w:rPr>
          <w:rFonts w:ascii="仿宋_GB2312" w:hAnsi="华文仿宋" w:eastAsia="仿宋_GB2312"/>
          <w:sz w:val="24"/>
        </w:rPr>
      </w:pPr>
      <w:r>
        <w:rPr>
          <w:rFonts w:hint="eastAsia" w:ascii="仿宋_GB2312" w:hAnsi="华文仿宋" w:eastAsia="仿宋_GB2312"/>
          <w:sz w:val="24"/>
        </w:rPr>
        <w:t>按掌握程度：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3"/>
        <w:gridCol w:w="1044"/>
        <w:gridCol w:w="1196"/>
        <w:gridCol w:w="12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华文仿宋" w:eastAsia="仿宋_GB2312"/>
                <w:sz w:val="24"/>
              </w:rPr>
            </w:pPr>
            <w:r>
              <w:rPr>
                <w:rFonts w:hint="eastAsia" w:ascii="仿宋_GB2312" w:hAnsi="华文仿宋" w:eastAsia="仿宋_GB2312"/>
                <w:sz w:val="24"/>
              </w:rPr>
              <w:t>掌握程度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华文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了解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华文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理解</w:t>
            </w:r>
          </w:p>
        </w:tc>
        <w:tc>
          <w:tcPr>
            <w:tcW w:w="1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华文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掌握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华文仿宋" w:eastAsia="仿宋_GB2312"/>
                <w:sz w:val="24"/>
              </w:rPr>
            </w:pPr>
            <w:r>
              <w:rPr>
                <w:rFonts w:hint="eastAsia" w:ascii="仿宋_GB2312" w:hAnsi="华文仿宋" w:eastAsia="仿宋_GB2312"/>
                <w:sz w:val="24"/>
              </w:rPr>
              <w:t>分值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华文仿宋" w:eastAsia="仿宋_GB2312"/>
                <w:sz w:val="24"/>
              </w:rPr>
            </w:pPr>
            <w:r>
              <w:rPr>
                <w:rFonts w:hint="eastAsia" w:ascii="仿宋_GB2312" w:hAnsi="华文仿宋" w:eastAsia="仿宋_GB2312"/>
                <w:sz w:val="24"/>
              </w:rPr>
              <w:t>10分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华文仿宋" w:eastAsia="仿宋_GB2312"/>
                <w:sz w:val="24"/>
              </w:rPr>
            </w:pPr>
            <w:r>
              <w:rPr>
                <w:rFonts w:hint="eastAsia" w:ascii="仿宋_GB2312" w:hAnsi="华文仿宋" w:eastAsia="仿宋_GB2312"/>
                <w:sz w:val="24"/>
              </w:rPr>
              <w:t>20分</w:t>
            </w:r>
          </w:p>
        </w:tc>
        <w:tc>
          <w:tcPr>
            <w:tcW w:w="1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textAlignment w:val="baseline"/>
              <w:rPr>
                <w:rFonts w:ascii="仿宋_GB2312" w:hAnsi="华文仿宋" w:eastAsia="仿宋_GB2312"/>
                <w:sz w:val="24"/>
              </w:rPr>
            </w:pPr>
            <w:r>
              <w:rPr>
                <w:rFonts w:hint="eastAsia" w:ascii="仿宋_GB2312" w:hAnsi="华文仿宋" w:eastAsia="仿宋_GB2312"/>
                <w:sz w:val="24"/>
              </w:rPr>
              <w:t>70分</w:t>
            </w:r>
          </w:p>
        </w:tc>
      </w:tr>
    </w:tbl>
    <w:p>
      <w:pPr>
        <w:spacing w:after="0"/>
      </w:pPr>
    </w:p>
    <w:sectPr>
      <w:footerReference r:id="rId3" w:type="default"/>
      <w:footerReference r:id="rId4" w:type="even"/>
      <w:pgSz w:w="10433" w:h="14742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separate"/>
    </w:r>
    <w:r>
      <w:rPr>
        <w:rStyle w:val="6"/>
      </w:rPr>
      <w:t>4</w:t>
    </w:r>
    <w:r>
      <w:rPr>
        <w:rStyle w:val="6"/>
      </w:rPr>
      <w:fldChar w:fldCharType="end"/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 w:val="1"/>
  <w:bordersDoNotSurroundHeader w:val="1"/>
  <w:bordersDoNotSurroundFooter w:val="1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01766E"/>
    <w:rsid w:val="0007241F"/>
    <w:rsid w:val="00086A19"/>
    <w:rsid w:val="000945D1"/>
    <w:rsid w:val="0011218D"/>
    <w:rsid w:val="00175001"/>
    <w:rsid w:val="00176071"/>
    <w:rsid w:val="001B3F67"/>
    <w:rsid w:val="001B54C0"/>
    <w:rsid w:val="001E305A"/>
    <w:rsid w:val="001F4E4A"/>
    <w:rsid w:val="002129EE"/>
    <w:rsid w:val="00213A45"/>
    <w:rsid w:val="00246A3F"/>
    <w:rsid w:val="002A73C8"/>
    <w:rsid w:val="002C4EE6"/>
    <w:rsid w:val="002C4F46"/>
    <w:rsid w:val="00314D1B"/>
    <w:rsid w:val="00323B43"/>
    <w:rsid w:val="0037799C"/>
    <w:rsid w:val="00393211"/>
    <w:rsid w:val="003B7C25"/>
    <w:rsid w:val="003D37D8"/>
    <w:rsid w:val="00426133"/>
    <w:rsid w:val="004358AB"/>
    <w:rsid w:val="00453AB0"/>
    <w:rsid w:val="00467CED"/>
    <w:rsid w:val="00485FEE"/>
    <w:rsid w:val="004A082B"/>
    <w:rsid w:val="004D6B12"/>
    <w:rsid w:val="004D76EC"/>
    <w:rsid w:val="0058401D"/>
    <w:rsid w:val="005B6440"/>
    <w:rsid w:val="00666512"/>
    <w:rsid w:val="0069239F"/>
    <w:rsid w:val="006C27F4"/>
    <w:rsid w:val="006E4015"/>
    <w:rsid w:val="00705612"/>
    <w:rsid w:val="00783281"/>
    <w:rsid w:val="007A46FD"/>
    <w:rsid w:val="007A4724"/>
    <w:rsid w:val="00844059"/>
    <w:rsid w:val="008B7726"/>
    <w:rsid w:val="008C7D33"/>
    <w:rsid w:val="008D2C4C"/>
    <w:rsid w:val="009B6C69"/>
    <w:rsid w:val="009D0A4D"/>
    <w:rsid w:val="00A4106D"/>
    <w:rsid w:val="00A42E7D"/>
    <w:rsid w:val="00A473E7"/>
    <w:rsid w:val="00AA0760"/>
    <w:rsid w:val="00AC624F"/>
    <w:rsid w:val="00B0371B"/>
    <w:rsid w:val="00B635CE"/>
    <w:rsid w:val="00BA0A30"/>
    <w:rsid w:val="00BB63E9"/>
    <w:rsid w:val="00C15478"/>
    <w:rsid w:val="00C157D8"/>
    <w:rsid w:val="00C55068"/>
    <w:rsid w:val="00C953BC"/>
    <w:rsid w:val="00CB112D"/>
    <w:rsid w:val="00CC3CD9"/>
    <w:rsid w:val="00D13A8B"/>
    <w:rsid w:val="00D31D50"/>
    <w:rsid w:val="00D328A4"/>
    <w:rsid w:val="00D51941"/>
    <w:rsid w:val="00D74440"/>
    <w:rsid w:val="00DC22F1"/>
    <w:rsid w:val="00E82FAA"/>
    <w:rsid w:val="00ED7A18"/>
    <w:rsid w:val="00F87A5C"/>
    <w:rsid w:val="00F9538B"/>
    <w:rsid w:val="00FB72FC"/>
    <w:rsid w:val="00FC78DB"/>
    <w:rsid w:val="46FA4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8">
    <w:name w:val="页脚 Char"/>
    <w:basedOn w:val="5"/>
    <w:link w:val="2"/>
    <w:qFormat/>
    <w:uiPriority w:val="0"/>
    <w:rPr>
      <w:rFonts w:ascii="Tahoma" w:hAnsi="Tahoma"/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336</Words>
  <Characters>1919</Characters>
  <Lines>15</Lines>
  <Paragraphs>4</Paragraphs>
  <TotalTime>1045</TotalTime>
  <ScaleCrop>false</ScaleCrop>
  <LinksUpToDate>false</LinksUpToDate>
  <CharactersWithSpaces>2251</CharactersWithSpaces>
  <Application>WPS Office_11.1.0.9926_F1E327BC-269C-435d-A152-05C5408002CA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2021-01-21T08:21:00Z</dcterms:created>
  <dc:creator>Administrator</dc:creator>
  <cp:lastModifiedBy>Administrator</cp:lastModifiedBy>
  <dcterms:modified xsi:type="dcterms:W3CDTF">2021-02-03T02:59:32Z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2052-11.1.0.9926</vt:lpwstr>
  </property>
</Properties>
</file>